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600"/>
        <w:tblBorders>
          <w:top w:val="none" w:color="FFFFFF" w:sz="0"/>
          <w:left w:val="none" w:color="FFFFFF" w:sz="0"/>
          <w:bottom w:val="single" w:color="0D3A23" w:sz="12"/>
          <w:right w:val="none" w:color="FFFFFF" w:sz="0"/>
          <w:insideH w:val="none" w:color="FFFFFF" w:sz="0"/>
          <w:insideV w:val="none" w:color="FFFFFF" w:sz="0"/>
        </w:tblBorders>
      </w:tblPr>
      <w:tblGrid>
        <w:gridCol w:w="100"/>
        <w:gridCol w:w="100"/>
      </w:tblGrid>
      <w:tr>
        <w:tc>
          <w:tcPr>
            <w:tcW w:type="dxa" w:w="4800"/>
            <w:tcBorders>
              <w:top w:val="none" w:color="FFFFFF" w:sz="0"/>
              <w:left w:val="none" w:color="FFFFFF" w:sz="0"/>
              <w:bottom w:val="none" w:color="FFFFFF" w:sz="0"/>
              <w:right w:val="none" w:color="FFFFFF" w:sz="0"/>
            </w:tcBorders>
          </w:tcPr>
          <w:p>
            <w:r>
              <w:drawing>
                <wp:inline distT="0" distB="0" distL="0" distR="0">
                  <wp:extent cx="2190750" cy="685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2190750" cy="685800"/>
                          </a:xfrm>
                          <a:prstGeom prst="rect">
                            <a:avLst/>
                          </a:prstGeom>
                        </pic:spPr>
                      </pic:pic>
                    </a:graphicData>
                  </a:graphic>
                </wp:inline>
              </w:drawing>
            </w:r>
          </w:p>
        </w:tc>
        <w:tc>
          <w:tcPr>
            <w:tcW w:type="dxa" w:w="4800"/>
            <w:tcBorders>
              <w:top w:val="none" w:color="FFFFFF" w:sz="0"/>
              <w:left w:val="none" w:color="FFFFFF" w:sz="0"/>
              <w:bottom w:val="none" w:color="FFFFFF" w:sz="0"/>
              <w:right w:val="none" w:color="FFFFFF" w:sz="0"/>
            </w:tcBorders>
            <w:vAlign w:val="center"/>
          </w:tcPr>
          <w:p>
            <w:pPr>
              <w:jc w:val="right"/>
            </w:pPr>
            <w:r>
              <w:rPr>
                <w:b/>
                <w:bCs/>
                <w:i w:val="false"/>
                <w:iCs w:val="false"/>
                <w:color w:val="0D3A23"/>
                <w:sz w:val="18"/>
                <w:szCs w:val="18"/>
                <w:rFonts w:ascii="Calibri" w:cs="Calibri" w:eastAsia="Calibri" w:hAnsi="Calibri"/>
              </w:rPr>
              <w:t xml:space="preserve">Associazione Nazionale «I Diritti del Debitore» ETS</w:t>
            </w:r>
          </w:p>
          <w:p>
            <w:pPr>
              <w:jc w:val="right"/>
            </w:pPr>
            <w:r>
              <w:rPr>
                <w:b w:val="false"/>
                <w:bCs w:val="false"/>
                <w:i w:val="false"/>
                <w:iCs w:val="false"/>
                <w:color w:val="666666"/>
                <w:sz w:val="16"/>
                <w:szCs w:val="16"/>
                <w:rFonts w:ascii="Calibri" w:cs="Calibri" w:eastAsia="Calibri" w:hAnsi="Calibri"/>
              </w:rPr>
              <w:t xml:space="preserve">www.idirittideldebitore.it</w:t>
            </w:r>
          </w:p>
        </w:tc>
      </w:tr>
    </w:tbl>
    <w:p/>
    <w:p>
      <w:pPr>
        <w:spacing w:after="0"/>
        <w:jc w:val="right"/>
      </w:pPr>
      <w:r>
        <w:rPr>
          <w:b/>
          <w:bCs/>
          <w:i w:val="false"/>
          <w:iCs w:val="false"/>
          <w:color w:val="0D3A23"/>
          <w:sz w:val="19"/>
          <w:szCs w:val="19"/>
          <w:rFonts w:ascii="Calibri" w:cs="Calibri" w:eastAsia="Calibri" w:hAnsi="Calibri"/>
        </w:rPr>
        <w:t xml:space="preserve">All'Organismo di Composizione della Crisi</w:t>
      </w:r>
    </w:p>
    <w:p>
      <w:pPr>
        <w:spacing w:after="0"/>
        <w:jc w:val="right"/>
      </w:pPr>
      <w:r>
        <w:rPr>
          <w:b/>
          <w:bCs/>
          <w:i w:val="false"/>
          <w:iCs w:val="false"/>
          <w:color w:val="0D3A23"/>
          <w:sz w:val="19"/>
          <w:szCs w:val="19"/>
          <w:rFonts w:ascii="Calibri" w:cs="Calibri" w:eastAsia="Calibri" w:hAnsi="Calibri"/>
        </w:rPr>
        <w:t xml:space="preserve">"O.C.C. I DIRITTI DEL DEBITORE SIENA"</w:t>
      </w:r>
    </w:p>
    <w:p>
      <w:pPr>
        <w:spacing w:after="0"/>
        <w:jc w:val="right"/>
      </w:pPr>
      <w:r>
        <w:rPr>
          <w:b/>
          <w:bCs/>
          <w:i w:val="false"/>
          <w:iCs w:val="false"/>
          <w:color w:val="0D3A23"/>
          <w:sz w:val="19"/>
          <w:szCs w:val="19"/>
          <w:rFonts w:ascii="Calibri" w:cs="Calibri" w:eastAsia="Calibri" w:hAnsi="Calibri"/>
        </w:rPr>
        <w:t xml:space="preserve">Segretariato Sociale nel Comune di Siena (SI)</w:t>
      </w:r>
    </w:p>
    <w:p>
      <w:pPr>
        <w:spacing w:after="0"/>
        <w:jc w:val="right"/>
      </w:pPr>
      <w:r>
        <w:rPr>
          <w:b w:val="false"/>
          <w:bCs w:val="false"/>
          <w:i w:val="false"/>
          <w:iCs w:val="false"/>
          <w:color w:val="333333"/>
          <w:sz w:val="19"/>
          <w:szCs w:val="19"/>
          <w:rFonts w:ascii="Calibri" w:cs="Calibri" w:eastAsia="Calibri" w:hAnsi="Calibri"/>
        </w:rPr>
        <w:t xml:space="preserve">Via della Mercanzia n. 66 - 53100 Siena (SI)</w:t>
      </w:r>
    </w:p>
    <w:p>
      <w:pPr>
        <w:spacing w:after="0"/>
        <w:jc w:val="right"/>
      </w:pPr>
      <w:r>
        <w:rPr>
          <w:b w:val="false"/>
          <w:bCs w:val="false"/>
          <w:i w:val="false"/>
          <w:iCs w:val="false"/>
          <w:color w:val="333333"/>
          <w:sz w:val="19"/>
          <w:szCs w:val="19"/>
          <w:rFonts w:ascii="Calibri" w:cs="Calibri" w:eastAsia="Calibri" w:hAnsi="Calibri"/>
        </w:rPr>
        <w:t xml:space="preserve">PEC: idirittideldebitore.siena@pec.it</w:t>
      </w:r>
    </w:p>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600"/>
            <w:tcBorders>
              <w:top w:val="none" w:color="FFFFFF" w:sz="0"/>
              <w:left w:val="none" w:color="FFFFFF" w:sz="0"/>
              <w:bottom w:val="none" w:color="FFFFFF" w:sz="0"/>
              <w:right w:val="none" w:color="FFFFFF" w:sz="0"/>
            </w:tcBorders>
            <w:shd w:fill="0D3A23" w:color="auto" w:val="clear"/>
          </w:tcPr>
          <w:p>
            <w:pPr>
              <w:spacing w:before="120" w:after="40"/>
              <w:jc w:val="center"/>
            </w:pPr>
            <w:r>
              <w:rPr>
                <w:b/>
                <w:bCs/>
                <w:i w:val="false"/>
                <w:iCs w:val="false"/>
                <w:color w:val="FFFFFF"/>
                <w:sz w:val="24"/>
                <w:szCs w:val="24"/>
                <w:rFonts w:ascii="Calibri" w:cs="Calibri" w:eastAsia="Calibri" w:hAnsi="Calibri"/>
              </w:rPr>
              <w:t xml:space="preserve">ISTANZA PER LA COMPOSIZIONE DELLA CRISI DA SOVRAINDEBITAMENTO</w:t>
            </w:r>
          </w:p>
          <w:p>
            <w:pPr>
              <w:spacing w:after="120"/>
              <w:jc w:val="center"/>
            </w:pPr>
            <w:r>
              <w:rPr>
                <w:b w:val="false"/>
                <w:bCs w:val="false"/>
                <w:i w:val="false"/>
                <w:iCs w:val="false"/>
                <w:color w:val="FFFFFF"/>
                <w:sz w:val="18"/>
                <w:szCs w:val="18"/>
                <w:rFonts w:ascii="Calibri" w:cs="Calibri" w:eastAsia="Calibri" w:hAnsi="Calibri"/>
              </w:rPr>
              <w:t xml:space="preserve">e dichiarazione sostitutiva dell’atto di notorietà (art. 47 D.P.R. 28 dicembre 2000 n. 445)</w:t>
            </w:r>
          </w:p>
        </w:tc>
      </w:tr>
    </w:tbl>
    <w:p/>
    <w:p>
      <w:pPr>
        <w:spacing w:after="100"/>
        <w:jc w:val="both"/>
      </w:pPr>
      <w:r>
        <w:rPr>
          <w:b w:val="false"/>
          <w:bCs w:val="false"/>
          <w:i w:val="false"/>
          <w:iCs w:val="false"/>
          <w:sz w:val="21"/>
          <w:szCs w:val="21"/>
          <w:rFonts w:ascii="Calibri" w:cs="Calibri" w:eastAsia="Calibri" w:hAnsi="Calibri"/>
        </w:rPr>
        <w:t xml:space="preserve">Istanza presentata ai sensi del Codice della Crisi d’Impresa e dell’Insolvenza, D. Lgs. 12 gennaio 2019 n. 14.</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PROCEDURA RICHIESTA</w:t>
      </w:r>
    </w:p>
    <w:p>
      <w:pPr>
        <w:spacing w:after="100"/>
        <w:ind w:left="340" w:hanging="240"/>
        <w:jc w:val="both"/>
      </w:pPr>
      <w:r>
        <w:rPr>
          <w:b w:val="false"/>
          <w:bCs w:val="false"/>
          <w:i w:val="false"/>
          <w:iCs w:val="false"/>
          <w:sz w:val="21"/>
          <w:szCs w:val="21"/>
          <w:rFonts w:ascii="Calibri" w:cs="Calibri" w:eastAsia="Calibri" w:hAnsi="Calibri"/>
        </w:rPr>
        <w:t xml:space="preserve">☐  Piano di ristrutturazione debiti del Consumatore (Art. 67 Codice della Crisi e dell’Insolvenza)</w:t>
      </w:r>
    </w:p>
    <w:p>
      <w:pPr>
        <w:spacing w:after="100"/>
        <w:ind w:left="340" w:hanging="240"/>
        <w:jc w:val="both"/>
      </w:pPr>
      <w:r>
        <w:rPr>
          <w:b w:val="false"/>
          <w:bCs w:val="false"/>
          <w:i w:val="false"/>
          <w:iCs w:val="false"/>
          <w:sz w:val="21"/>
          <w:szCs w:val="21"/>
          <w:rFonts w:ascii="Calibri" w:cs="Calibri" w:eastAsia="Calibri" w:hAnsi="Calibri"/>
        </w:rPr>
        <w:t xml:space="preserve">☐  Concordato Minore (Art. 74 Codice della Crisi e dell’Insolvenza)</w:t>
      </w:r>
    </w:p>
    <w:p>
      <w:pPr>
        <w:spacing w:after="100"/>
        <w:ind w:left="340" w:hanging="240"/>
        <w:jc w:val="both"/>
      </w:pPr>
      <w:r>
        <w:rPr>
          <w:b w:val="false"/>
          <w:bCs w:val="false"/>
          <w:i w:val="false"/>
          <w:iCs w:val="false"/>
          <w:sz w:val="21"/>
          <w:szCs w:val="21"/>
          <w:rFonts w:ascii="Calibri" w:cs="Calibri" w:eastAsia="Calibri" w:hAnsi="Calibri"/>
        </w:rPr>
        <w:t xml:space="preserve">☐  Liquidazione controllata del Sovra indebitato (Art. 268 Codice della Crisi e dell’Insolvenza)</w:t>
      </w:r>
    </w:p>
    <w:p>
      <w:pPr>
        <w:spacing w:after="100"/>
        <w:ind w:left="340" w:hanging="240"/>
        <w:jc w:val="both"/>
      </w:pPr>
      <w:r>
        <w:rPr>
          <w:b w:val="false"/>
          <w:bCs w:val="false"/>
          <w:i w:val="false"/>
          <w:iCs w:val="false"/>
          <w:sz w:val="21"/>
          <w:szCs w:val="21"/>
          <w:rFonts w:ascii="Calibri" w:cs="Calibri" w:eastAsia="Calibri" w:hAnsi="Calibri"/>
        </w:rPr>
        <w:t xml:space="preserve">☐  Esdebitazione del debitore incapiente (Art. 283 Codice della Crisi e dell’Insolvenza)</w:t>
      </w:r>
    </w:p>
    <w:p>
      <w:pPr>
        <w:spacing w:after="100"/>
        <w:ind w:left="340" w:hanging="240"/>
        <w:jc w:val="both"/>
      </w:pPr>
      <w:r>
        <w:rPr>
          <w:b w:val="false"/>
          <w:bCs w:val="false"/>
          <w:i w:val="false"/>
          <w:iCs w:val="false"/>
          <w:sz w:val="21"/>
          <w:szCs w:val="21"/>
          <w:rFonts w:ascii="Calibri" w:cs="Calibri" w:eastAsia="Calibri" w:hAnsi="Calibri"/>
        </w:rPr>
        <w:t xml:space="preserve">☐  Richiesta di supporto psicologico</w:t>
      </w:r>
    </w:p>
    <w:p>
      <w:pPr>
        <w:spacing w:after="100"/>
        <w:jc w:val="both"/>
      </w:pPr>
      <w:r>
        <w:rPr>
          <w:b w:val="false"/>
          <w:bCs w:val="false"/>
          <w:i w:val="false"/>
          <w:iCs w:val="false"/>
          <w:sz w:val="17"/>
          <w:szCs w:val="17"/>
          <w:rFonts w:ascii="Calibri" w:cs="Calibri" w:eastAsia="Calibri" w:hAnsi="Calibri"/>
        </w:rPr>
        <w:t xml:space="preserve">La Federazione Nazionale ha attivato un «Consultorio Psicologico» per i soggetti con problemi di sovraindebitamento e per le loro famiglie: 10 incontri gratuiti, attivabili all’indirizzo https://www.idirittideldebitore.com/psicorichiestasupporto</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IL SOTTOSCRITTO</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Istante</w:t>
            </w:r>
          </w:p>
        </w:tc>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r>
          </w:p>
        </w:tc>
      </w:tr>
      <w:tr>
        <w:trPr>
          <w:cantSplit/>
        </w:trPr>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Nato a / il</w:t>
            </w:r>
          </w:p>
        </w:tc>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r>
      <w:tr>
        <w:trPr>
          <w:cantSplit/>
        </w:trPr>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Codice fiscale</w:t>
            </w:r>
          </w:p>
        </w:tc>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r>
      <w:tr>
        <w:trPr>
          <w:cantSplit/>
        </w:trPr>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Residente in</w:t>
            </w:r>
          </w:p>
        </w:tc>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r>
      <w:tr>
        <w:trPr>
          <w:cantSplit/>
        </w:trPr>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Telefono</w:t>
            </w:r>
          </w:p>
        </w:tc>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r>
      <w:tr>
        <w:trPr>
          <w:cantSplit/>
        </w:trPr>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Email</w:t>
            </w:r>
          </w:p>
        </w:tc>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r>
    </w:tbl>
    <w:p>
      <w:pPr>
        <w:spacing w:after="60"/>
      </w:pPr>
    </w:p>
    <w:p>
      <w:pPr>
        <w:spacing w:after="100"/>
        <w:jc w:val="both"/>
      </w:pPr>
      <w:r>
        <w:rPr>
          <w:b/>
          <w:bCs/>
          <w:i w:val="false"/>
          <w:iCs w:val="false"/>
          <w:sz w:val="21"/>
          <w:szCs w:val="21"/>
          <w:rFonts w:ascii="Calibri" w:cs="Calibri" w:eastAsia="Calibri" w:hAnsi="Calibri"/>
        </w:rPr>
        <w:t xml:space="preserve">in qualità di:</w:t>
      </w:r>
    </w:p>
    <w:p>
      <w:pPr>
        <w:spacing w:after="100"/>
        <w:ind w:left="340" w:hanging="240"/>
        <w:jc w:val="both"/>
      </w:pPr>
      <w:r>
        <w:rPr>
          <w:b w:val="false"/>
          <w:bCs w:val="false"/>
          <w:i w:val="false"/>
          <w:iCs w:val="false"/>
          <w:sz w:val="21"/>
          <w:szCs w:val="21"/>
          <w:rFonts w:ascii="Calibri" w:cs="Calibri" w:eastAsia="Calibri" w:hAnsi="Calibri"/>
        </w:rPr>
        <w:t xml:space="preserve">☐  Consumatore</w:t>
      </w:r>
    </w:p>
    <w:p>
      <w:pPr>
        <w:spacing w:after="100"/>
        <w:ind w:left="340" w:hanging="240"/>
        <w:jc w:val="both"/>
      </w:pPr>
      <w:r>
        <w:rPr>
          <w:b w:val="false"/>
          <w:bCs w:val="false"/>
          <w:i w:val="false"/>
          <w:iCs w:val="false"/>
          <w:sz w:val="21"/>
          <w:szCs w:val="21"/>
          <w:rFonts w:ascii="Calibri" w:cs="Calibri" w:eastAsia="Calibri" w:hAnsi="Calibri"/>
        </w:rPr>
        <w:t xml:space="preserve">☐  Professionista</w:t>
      </w:r>
    </w:p>
    <w:p>
      <w:pPr>
        <w:spacing w:after="100"/>
        <w:ind w:left="340" w:hanging="240"/>
        <w:jc w:val="both"/>
      </w:pPr>
      <w:r>
        <w:rPr>
          <w:b w:val="false"/>
          <w:bCs w:val="false"/>
          <w:i w:val="false"/>
          <w:iCs w:val="false"/>
          <w:sz w:val="21"/>
          <w:szCs w:val="21"/>
          <w:rFonts w:ascii="Calibri" w:cs="Calibri" w:eastAsia="Calibri" w:hAnsi="Calibri"/>
        </w:rPr>
        <w:t xml:space="preserve">☐  Imprenditore (attività d’impresa)</w:t>
      </w:r>
    </w:p>
    <w:p>
      <w:pPr>
        <w:spacing w:after="100"/>
        <w:ind w:left="340" w:hanging="240"/>
        <w:jc w:val="both"/>
      </w:pPr>
      <w:r>
        <w:rPr>
          <w:b w:val="false"/>
          <w:bCs w:val="false"/>
          <w:i w:val="false"/>
          <w:iCs w:val="false"/>
          <w:sz w:val="21"/>
          <w:szCs w:val="21"/>
          <w:rFonts w:ascii="Calibri" w:cs="Calibri" w:eastAsia="Calibri" w:hAnsi="Calibri"/>
        </w:rPr>
        <w:t xml:space="preserve">☐  Imprenditore agricolo (azienda agricola)</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PREMESSO</w:t>
      </w:r>
    </w:p>
    <w:p>
      <w:pPr>
        <w:spacing w:after="100"/>
        <w:ind w:left="340" w:hanging="240"/>
        <w:jc w:val="both"/>
      </w:pPr>
      <w:r>
        <w:rPr>
          <w:b w:val="false"/>
          <w:bCs w:val="false"/>
          <w:i w:val="false"/>
          <w:iCs w:val="false"/>
          <w:sz w:val="21"/>
          <w:szCs w:val="21"/>
          <w:rFonts w:ascii="Calibri" w:cs="Calibri" w:eastAsia="Calibri" w:hAnsi="Calibri"/>
        </w:rPr>
        <w:t xml:space="preserve">•  di versare in una situazione di sovraindebitamento così come definita dall’art. 2, comma 1, lettera c) del Codice della Crisi d’Impresa e dell’Insolvenza;</w:t>
      </w:r>
    </w:p>
    <w:p>
      <w:pPr>
        <w:spacing w:after="100"/>
        <w:ind w:left="340" w:hanging="240"/>
        <w:jc w:val="both"/>
      </w:pPr>
      <w:r>
        <w:rPr>
          <w:b w:val="false"/>
          <w:bCs w:val="false"/>
          <w:i w:val="false"/>
          <w:iCs w:val="false"/>
          <w:sz w:val="21"/>
          <w:szCs w:val="21"/>
          <w:rFonts w:ascii="Calibri" w:cs="Calibri" w:eastAsia="Calibri" w:hAnsi="Calibri"/>
        </w:rPr>
        <w:t xml:space="preserve">•  di voler avvalersi dell’Organismo di Composizione della Crisi “O.C.C. I Diritti previste dal Codice della Crisi e dell' Insolvenza, come sopra indicata; CHIEDE - Che l’Organismo di Composizione della Crisi, effettui una prima valutazione sull’ammissibilità della proposta, sulla base della dichiarazione allegata relativa all’elenco dei debiti, dei crediti, degli immobili posseduti e del reddito prodotto o percepito; - Che, in caso di prima ipotesi favorevole, l’Organismo di Composizione della Crisi svolga le funzioni attribuite dalla Codice della Crisi, D. Lgs. 12 gennaio 2019 n. 14, secondo le previsioni di cui al D.M. n. 202 del 24 settembre 2014; - Che venga rilasciato un preventivo di massima delle competenze spettanti all’ Organismo sulla base dell’elenco esposizioni debitorie allegato; - Che venga nominato il Gestore della Crisi da sovra indebitamento; - Che venga nominato uno o più consulenti per l'accesso alla procedura Composizione Negoziata della Crisi di Impresa; SI IMPEGNA - a fornire la certificazione relativa ai dati come sopra dichiarati nonché tutta la documentazione che l’Organismo riterrà più opportuno richiedere; - Ad effettuare un versamento pari a: • Euro: 300,00 (trecento) per Piano di Ristrutturazione dei Debiti ed Esdebitazione • Euro: 500,00 (Cinquecento) per Concordato Minore e Liquidazione controllata Iban: quale fondo spese istruzione pratica; resta inteso che tale fondo, nel caso che la proposta venga dichiarata ammissibile, verrà definitivamente acquisito dall'Organismo, senza possibilità di restituzione. PRENDE ATTO - Che le competenze previste in favore dell’Organismo verranno definitivamente calcolate, secondo i parametri previsti dal D.A. 24 settembre 2014 n. 202, dopo la definitiva certificazione delle poste dell’Attivo e del Passivo; - Che l‘importo totale delle competenze dovrà essere versato all’Organismo, con le modalità descritte nel preventivo che verrà rilasciato e sottoscritto per accettazione. Allegati carta di identità e codice fiscale Con osservanza, ......................................... li................................... Il Sovra indebitato del Debitore sul conto intestato all' acceso presso SIENA - Segretariato Sociale nel Comune di Siena (SI)” per la procedura sopra indicata;</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CHIEDE</w:t>
      </w:r>
    </w:p>
    <w:p>
      <w:pPr>
        <w:spacing w:after="100"/>
        <w:ind w:left="340" w:hanging="240"/>
        <w:jc w:val="both"/>
      </w:pPr>
      <w:r>
        <w:rPr>
          <w:b w:val="false"/>
          <w:bCs w:val="false"/>
          <w:i w:val="false"/>
          <w:iCs w:val="false"/>
          <w:sz w:val="21"/>
          <w:szCs w:val="21"/>
          <w:rFonts w:ascii="Calibri" w:cs="Calibri" w:eastAsia="Calibri" w:hAnsi="Calibri"/>
        </w:rPr>
        <w:t xml:space="preserve">•  che l’Organismo effettui una prima valutazione sulla procedibilità della proposta ai sensi del D.M. 24 settembre 2014 n. 202, sulla base della dichiarazione che segue relativa ai debiti, ai crediti, agli immobili posseduti e al reddito prodotto o percepito;</w:t>
      </w:r>
    </w:p>
    <w:p>
      <w:pPr>
        <w:spacing w:after="100"/>
        <w:ind w:left="340" w:hanging="240"/>
        <w:jc w:val="both"/>
      </w:pPr>
      <w:r>
        <w:rPr>
          <w:b w:val="false"/>
          <w:bCs w:val="false"/>
          <w:i w:val="false"/>
          <w:iCs w:val="false"/>
          <w:sz w:val="21"/>
          <w:szCs w:val="21"/>
          <w:rFonts w:ascii="Calibri" w:cs="Calibri" w:eastAsia="Calibri" w:hAnsi="Calibri"/>
        </w:rPr>
        <w:t xml:space="preserve">•  che, in caso di prima ipotesi favorevole, l’Organismo svolga le funzioni attribuite dal D. Lgs. 12 gennaio 2019 n. 14, secondo le previsioni del D.M. 24 settembre 2014 n. 202;</w:t>
      </w:r>
    </w:p>
    <w:p>
      <w:pPr>
        <w:spacing w:after="100"/>
        <w:ind w:left="340" w:hanging="240"/>
        <w:jc w:val="both"/>
      </w:pPr>
      <w:r>
        <w:rPr>
          <w:b w:val="false"/>
          <w:bCs w:val="false"/>
          <w:i w:val="false"/>
          <w:iCs w:val="false"/>
          <w:sz w:val="21"/>
          <w:szCs w:val="21"/>
          <w:rFonts w:ascii="Calibri" w:cs="Calibri" w:eastAsia="Calibri" w:hAnsi="Calibri"/>
        </w:rPr>
        <w:t xml:space="preserve">•  che venga rilasciato un preventivo di massima delle competenze spettanti all’Organismo;</w:t>
      </w:r>
    </w:p>
    <w:p>
      <w:pPr>
        <w:spacing w:after="100"/>
        <w:ind w:left="340" w:hanging="240"/>
        <w:jc w:val="both"/>
      </w:pPr>
      <w:r>
        <w:rPr>
          <w:b w:val="false"/>
          <w:bCs w:val="false"/>
          <w:i w:val="false"/>
          <w:iCs w:val="false"/>
          <w:sz w:val="21"/>
          <w:szCs w:val="21"/>
          <w:rFonts w:ascii="Calibri" w:cs="Calibri" w:eastAsia="Calibri" w:hAnsi="Calibri"/>
        </w:rPr>
        <w:t xml:space="preserve">•  che venga nominato il Gestore della Crisi da sovraindebitamento.</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SI IMPEGNA</w:t>
      </w:r>
    </w:p>
    <w:p>
      <w:pPr>
        <w:spacing w:after="100"/>
        <w:ind w:left="340" w:hanging="240"/>
        <w:jc w:val="both"/>
      </w:pPr>
      <w:r>
        <w:rPr>
          <w:b w:val="false"/>
          <w:bCs w:val="false"/>
          <w:i w:val="false"/>
          <w:iCs w:val="false"/>
          <w:sz w:val="21"/>
          <w:szCs w:val="21"/>
          <w:rFonts w:ascii="Calibri" w:cs="Calibri" w:eastAsia="Calibri" w:hAnsi="Calibri"/>
        </w:rPr>
        <w:t xml:space="preserve">•  a fornire la certificazione dei dati dichiarati e tutta la documentazione che l’Organismo riterrà opportuno richiedere;</w:t>
      </w:r>
    </w:p>
    <w:p>
      <w:pPr>
        <w:spacing w:after="100"/>
        <w:ind w:left="340" w:hanging="240"/>
        <w:jc w:val="both"/>
      </w:pPr>
      <w:r>
        <w:rPr>
          <w:b w:val="false"/>
          <w:bCs w:val="false"/>
          <w:i w:val="false"/>
          <w:iCs w:val="false"/>
          <w:sz w:val="21"/>
          <w:szCs w:val="21"/>
          <w:rFonts w:ascii="Calibri" w:cs="Calibri" w:eastAsia="Calibri" w:hAnsi="Calibri"/>
        </w:rPr>
        <w:t xml:space="preserve">•  a versare il fondo spese per l’istruzione della pratica: 300,00 euro per il Piano di ristrutturazione dei debiti del consumatore; 500,00 euro per il Concordato minore e la Liquidazione controllata, sul conto intestato all’Associazione I Diritti del Debitore presso Unicredit Via Torino Catania, IBAN IT66A0200816926000105064073. Se la proposta sarà dichiarata procedibile, il fondo sarà considerato acconto delle competenze dell’Organismo (D.M. 24 settembre 2014 n. 202).</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PRENDE ATTO</w:t>
      </w:r>
    </w:p>
    <w:p>
      <w:pPr>
        <w:spacing w:after="100"/>
        <w:ind w:left="340" w:hanging="240"/>
        <w:jc w:val="both"/>
      </w:pPr>
      <w:r>
        <w:rPr>
          <w:b w:val="false"/>
          <w:bCs w:val="false"/>
          <w:i w:val="false"/>
          <w:iCs w:val="false"/>
          <w:sz w:val="21"/>
          <w:szCs w:val="21"/>
          <w:rFonts w:ascii="Calibri" w:cs="Calibri" w:eastAsia="Calibri" w:hAnsi="Calibri"/>
        </w:rPr>
        <w:t xml:space="preserve">•  che le competenze dell’Organismo saranno calcolate in via definitiva, secondo i parametri del D.M. 24 settembre 2014 n. 202, dopo la certificazione delle poste dell’attivo e del passivo;</w:t>
      </w:r>
    </w:p>
    <w:p>
      <w:pPr>
        <w:spacing w:after="100"/>
        <w:ind w:left="340" w:hanging="240"/>
        <w:jc w:val="both"/>
      </w:pPr>
      <w:r>
        <w:rPr>
          <w:b w:val="false"/>
          <w:bCs w:val="false"/>
          <w:i w:val="false"/>
          <w:iCs w:val="false"/>
          <w:sz w:val="21"/>
          <w:szCs w:val="21"/>
          <w:rFonts w:ascii="Calibri" w:cs="Calibri" w:eastAsia="Calibri" w:hAnsi="Calibri"/>
        </w:rPr>
        <w:t xml:space="preserve">•  che l’importo delle competenze sarà versato con le modalità indicate nel preventivo, sottoscritto per accettazione.</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600"/>
            <w:tcBorders>
              <w:top w:val="none" w:color="FFFFFF" w:sz="0"/>
              <w:left w:val="none" w:color="FFFFFF" w:sz="0"/>
              <w:bottom w:val="none" w:color="FFFFFF" w:sz="0"/>
              <w:right w:val="none" w:color="FFFFFF" w:sz="0"/>
            </w:tcBorders>
            <w:shd w:fill="0D3A23" w:color="auto" w:val="clear"/>
          </w:tcPr>
          <w:p>
            <w:pPr>
              <w:spacing w:before="120" w:after="40"/>
              <w:jc w:val="center"/>
            </w:pPr>
            <w:r>
              <w:rPr>
                <w:b/>
                <w:bCs/>
                <w:i w:val="false"/>
                <w:iCs w:val="false"/>
                <w:color w:val="FFFFFF"/>
                <w:sz w:val="24"/>
                <w:szCs w:val="24"/>
                <w:rFonts w:ascii="Calibri" w:cs="Calibri" w:eastAsia="Calibri" w:hAnsi="Calibri"/>
              </w:rPr>
              <w:t xml:space="preserve">DICHIARAZIONE SOSTITUTIVA DELL’ATTO DI NOTORIETÀ</w:t>
            </w:r>
          </w:p>
          <w:p>
            <w:pPr>
              <w:spacing w:after="120"/>
              <w:jc w:val="center"/>
            </w:pPr>
            <w:r>
              <w:rPr>
                <w:b w:val="false"/>
                <w:bCs w:val="false"/>
                <w:i w:val="false"/>
                <w:iCs w:val="false"/>
                <w:color w:val="FFFFFF"/>
                <w:sz w:val="18"/>
                <w:szCs w:val="18"/>
                <w:rFonts w:ascii="Calibri" w:cs="Calibri" w:eastAsia="Calibri" w:hAnsi="Calibri"/>
              </w:rPr>
              <w:t xml:space="preserve">art. 47 D.P.R. 28 dicembre 2000 n. 445</w:t>
            </w:r>
          </w:p>
        </w:tc>
      </w:tr>
    </w:tbl>
    <w:p/>
    <w:p>
      <w:pPr>
        <w:spacing w:after="100"/>
        <w:jc w:val="both"/>
      </w:pPr>
      <w:r>
        <w:rPr>
          <w:b w:val="false"/>
          <w:bCs w:val="false"/>
          <w:i w:val="false"/>
          <w:iCs w:val="false"/>
          <w:sz w:val="21"/>
          <w:szCs w:val="21"/>
          <w:rFonts w:ascii="Calibri" w:cs="Calibri" w:eastAsia="Calibri" w:hAnsi="Calibri"/>
        </w:rPr>
        <w:t xml:space="preserve">Il sottoscritto sopra indicato, consapevole delle sanzioni penali previste dall’art. 76 del D.P.R. 445/2000 in caso di dichiarazioni mendaci e della decadenza dai benefici eventualmente conseguiti sulla base di dichiarazioni non veritiere (art. 75), sotto la propria responsabilità</w:t>
      </w:r>
    </w:p>
    <w:p>
      <w:pPr>
        <w:spacing w:after="100"/>
        <w:jc w:val="center"/>
      </w:pPr>
      <w:r>
        <w:rPr>
          <w:b/>
          <w:bCs/>
          <w:i w:val="false"/>
          <w:iCs w:val="false"/>
          <w:sz w:val="21"/>
          <w:szCs w:val="21"/>
          <w:rFonts w:ascii="Calibri" w:cs="Calibri" w:eastAsia="Calibri" w:hAnsi="Calibri"/>
        </w:rPr>
        <w:t xml:space="preserve">DICHIARA</w:t>
      </w:r>
    </w:p>
    <w:p>
      <w:pPr>
        <w:spacing w:after="100"/>
        <w:jc w:val="both"/>
      </w:pPr>
      <w:r>
        <w:rPr>
          <w:b w:val="false"/>
          <w:bCs w:val="false"/>
          <w:i w:val="false"/>
          <w:iCs w:val="false"/>
          <w:sz w:val="21"/>
          <w:szCs w:val="21"/>
          <w:rFonts w:ascii="Calibri" w:cs="Calibri" w:eastAsia="Calibri" w:hAnsi="Calibri"/>
        </w:rPr>
        <w:t xml:space="preserve">che quanto riportato di seguito corrisponde al vero.</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r>
          </w:p>
        </w:tc>
        <w:tc>
          <w:tcPr>
            <w:tcW w:type="dxa" w:w="144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center"/>
            </w:pPr>
            <w:r>
              <w:rPr>
                <w:b/>
                <w:bCs/>
                <w:i w:val="false"/>
                <w:iCs w:val="false"/>
                <w:color w:val="FFFFFF"/>
                <w:sz w:val="19"/>
                <w:szCs w:val="19"/>
                <w:rFonts w:ascii="Calibri" w:cs="Calibri" w:eastAsia="Calibri" w:hAnsi="Calibri"/>
              </w:rPr>
              <w:t xml:space="preserve">SÌ</w:t>
            </w:r>
          </w:p>
        </w:tc>
        <w:tc>
          <w:tcPr>
            <w:tcW w:type="dxa" w:w="144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center"/>
            </w:pPr>
            <w:r>
              <w:rPr>
                <w:b/>
                <w:bCs/>
                <w:i w:val="false"/>
                <w:iCs w:val="false"/>
                <w:color w:val="FFFFFF"/>
                <w:sz w:val="19"/>
                <w:szCs w:val="19"/>
                <w:rFonts w:ascii="Calibri" w:cs="Calibri" w:eastAsia="Calibri" w:hAnsi="Calibri"/>
              </w:rPr>
              <w:t xml:space="preserve">NO</w:t>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Istante assoggettato o assoggettabile a procedure fallimentari (liquidazione giudiziale)</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bl>
    <w:p>
      <w:pPr>
        <w:spacing w:after="60"/>
      </w:pPr>
    </w:p>
    <w:p>
      <w:pPr>
        <w:spacing w:after="100"/>
        <w:jc w:val="both"/>
      </w:pPr>
      <w:r>
        <w:rPr>
          <w:b w:val="false"/>
          <w:bCs w:val="false"/>
          <w:i/>
          <w:iCs/>
          <w:color w:val="555555"/>
          <w:sz w:val="17"/>
          <w:szCs w:val="17"/>
          <w:rFonts w:ascii="Calibri" w:cs="Calibri" w:eastAsia="Calibri" w:hAnsi="Calibri"/>
        </w:rPr>
        <w:t xml:space="preserve">Gli importi sono puramente indicativi e saranno sottoposti a certificazione da parte dei creditori.</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QUADRO RIEPILOGATIVO</w:t>
            </w:r>
          </w:p>
        </w:tc>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Importo</w:t>
            </w:r>
          </w:p>
        </w:tc>
      </w:tr>
      <w:tr>
        <w:trPr>
          <w:cantSplit/>
        </w:trPr>
        <w:tc>
          <w:tcPr>
            <w:tcW w:type="dxa" w:w="672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left"/>
            </w:pPr>
            <w:r>
              <w:rPr>
                <w:b/>
                <w:bCs/>
                <w:i w:val="false"/>
                <w:iCs w:val="false"/>
                <w:sz w:val="19"/>
                <w:szCs w:val="19"/>
                <w:rFonts w:ascii="Calibri" w:cs="Calibri" w:eastAsia="Calibri" w:hAnsi="Calibri"/>
              </w:rPr>
              <w:t xml:space="preserve">TOTALE DEBITI</w:t>
            </w:r>
          </w:p>
        </w:tc>
        <w:tc>
          <w:tcPr>
            <w:tcW w:type="dxa" w:w="288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right"/>
            </w:pPr>
            <w:r>
              <w:rPr>
                <w:b/>
                <w:bCs/>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   di cui privilegiati (es. mutui ipotecari, fisco e tributi, INPS e altri contributi, dipendenti)</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left"/>
            </w:pPr>
            <w:r>
              <w:rPr>
                <w:b/>
                <w:bCs/>
                <w:i w:val="false"/>
                <w:iCs w:val="false"/>
                <w:sz w:val="19"/>
                <w:szCs w:val="19"/>
                <w:rFonts w:ascii="Calibri" w:cs="Calibri" w:eastAsia="Calibri" w:hAnsi="Calibri"/>
              </w:rPr>
              <w:t xml:space="preserve">TOTALE ATTIVO</w:t>
            </w:r>
          </w:p>
        </w:tc>
        <w:tc>
          <w:tcPr>
            <w:tcW w:type="dxa" w:w="288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right"/>
            </w:pPr>
            <w:r>
              <w:rPr>
                <w:b/>
                <w:bCs/>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   di cui beni mobili (es. autoveicoli, conti correnti, titoli, quote di società)</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   di cui beni immobili (es. case, terreni, box)</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bl>
    <w:p>
      <w:pPr>
        <w:spacing w:after="60"/>
      </w:pP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NUCLEO FAMILIARE</w:t>
            </w:r>
          </w:p>
        </w:tc>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Numero dei componenti del nucleo familiare (compreso il dichiarante)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bl>
    <w:p>
      <w:pPr>
        <w:spacing w:after="60"/>
      </w:pP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SPESE MENSILI DELLA FAMIGLIA (*)</w:t>
            </w:r>
          </w:p>
        </w:tc>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Importo mensile</w:t>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Prodotti alimentari e bevande analcoliche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Bevande alcoliche e tabacchi</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Abbigliamento e calzature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Abitazione, acqua, elettricità, gas e altri combustibili</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Mobili, articoli e servizi per la casa</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Salute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Trasporti</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Informazione e comunicazione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Ricreazione, sport e cultura</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Istruzione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Servizi di ristorazione e di alloggio</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Servizi assicurativi e finanziari</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Beni e servizi per la cura della persona, servizi di protezione sociale e altri beni e servizi</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left"/>
            </w:pPr>
            <w:r>
              <w:rPr>
                <w:b/>
                <w:bCs/>
                <w:i w:val="false"/>
                <w:iCs w:val="false"/>
                <w:sz w:val="19"/>
                <w:szCs w:val="19"/>
                <w:rFonts w:ascii="Calibri" w:cs="Calibri" w:eastAsia="Calibri" w:hAnsi="Calibri"/>
              </w:rPr>
              <w:t xml:space="preserve">TOTALE SPESE MENSILI</w:t>
            </w:r>
          </w:p>
        </w:tc>
        <w:tc>
          <w:tcPr>
            <w:tcW w:type="dxa" w:w="288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right"/>
            </w:pPr>
            <w:r>
              <w:rPr>
                <w:b/>
                <w:bCs/>
                <w:i w:val="false"/>
                <w:iCs w:val="false"/>
                <w:sz w:val="19"/>
                <w:szCs w:val="19"/>
                <w:rFonts w:ascii="Calibri" w:cs="Calibri" w:eastAsia="Calibri" w:hAnsi="Calibri"/>
              </w:rPr>
            </w:r>
          </w:p>
        </w:tc>
      </w:tr>
    </w:tbl>
    <w:p>
      <w:pPr>
        <w:spacing w:after="60"/>
      </w:pPr>
    </w:p>
    <w:p>
      <w:pPr>
        <w:spacing w:after="100"/>
        <w:jc w:val="both"/>
      </w:pPr>
      <w:r>
        <w:rPr>
          <w:b w:val="false"/>
          <w:bCs w:val="false"/>
          <w:i/>
          <w:iCs/>
          <w:color w:val="555555"/>
          <w:sz w:val="17"/>
          <w:szCs w:val="17"/>
          <w:rFonts w:ascii="Calibri" w:cs="Calibri" w:eastAsia="Calibri" w:hAnsi="Calibri"/>
        </w:rPr>
        <w:t xml:space="preserve">(*) Come riferimento si può usare la tabella ISTAT, Spese per consumi delle famiglie, anno 2025, per famiglie con lo stesso numero di componenti nella regione del Tribunale; gli importi si possono modificare indicando le spese effettive.</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IN ALTERNATIVA: SPESE SECONDO L’ART. 68, C. 3, CCII</w:t>
            </w:r>
          </w:p>
        </w:tc>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Importo mensile</w:t>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Assegno sociale 2026 (importo mensile)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t xml:space="preserve">546,24 €</w:t>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Parametro della scala di equivalenza ISEE (1 componente 1,00; 2 = 1,57; 3 = 2,04; 4 = 2,46; 5 = 2,85; +0,35 per ogni componente in più)</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left"/>
            </w:pPr>
            <w:r>
              <w:rPr>
                <w:b/>
                <w:bCs/>
                <w:i w:val="false"/>
                <w:iCs w:val="false"/>
                <w:sz w:val="19"/>
                <w:szCs w:val="19"/>
                <w:rFonts w:ascii="Calibri" w:cs="Calibri" w:eastAsia="Calibri" w:hAnsi="Calibri"/>
              </w:rPr>
              <w:t xml:space="preserve">Importo necessario a mantenere un dignitoso tenore di vita</w:t>
            </w:r>
          </w:p>
        </w:tc>
        <w:tc>
          <w:tcPr>
            <w:tcW w:type="dxa" w:w="288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right"/>
            </w:pPr>
            <w:r>
              <w:rPr>
                <w:b/>
                <w:bCs/>
                <w:i w:val="false"/>
                <w:iCs w:val="false"/>
                <w:sz w:val="19"/>
                <w:szCs w:val="19"/>
                <w:rFonts w:ascii="Calibri" w:cs="Calibri" w:eastAsia="Calibri" w:hAnsi="Calibri"/>
              </w:rPr>
            </w:r>
          </w:p>
        </w:tc>
      </w:tr>
    </w:tbl>
    <w:p>
      <w:pPr>
        <w:spacing w:after="60"/>
      </w:pPr>
    </w:p>
    <w:p>
      <w:pPr>
        <w:spacing w:after="100"/>
        <w:jc w:val="both"/>
      </w:pPr>
      <w:r>
        <w:rPr>
          <w:b w:val="false"/>
          <w:bCs w:val="false"/>
          <w:i/>
          <w:iCs/>
          <w:color w:val="555555"/>
          <w:sz w:val="17"/>
          <w:szCs w:val="17"/>
          <w:rFonts w:ascii="Calibri" w:cs="Calibri" w:eastAsia="Calibri" w:hAnsi="Calibri"/>
        </w:rPr>
        <w:t xml:space="preserve">In alternativa all’autocertificazione, il consumo della famiglia è calcolato secondo le modalità dell’art. 68, comma 3, del Codice della Crisi d’Impresa e dell’Insolvenza: assegno sociale moltiplicato per il parametro della scala di equivalenza ISEE (D.P.C.M. 5 dicembre 2013 n. 159) corrispondente al numero dei componenti del nucleo familiare. La scelta del criterio sarà valutata con il Gestore della crisi.</w:t>
      </w:r>
    </w:p>
    <w:p>
      <w:pPr>
        <w:spacing w:after="100"/>
        <w:jc w:val="both"/>
      </w:pPr>
      <w:r>
        <w:rPr>
          <w:b/>
          <w:bCs/>
          <w:i w:val="false"/>
          <w:iCs w:val="false"/>
          <w:sz w:val="21"/>
          <w:szCs w:val="21"/>
          <w:rFonts w:ascii="Calibri" w:cs="Calibri" w:eastAsia="Calibri" w:hAnsi="Calibri"/>
        </w:rPr>
        <w:t xml:space="preserve">REDDITO – compilare la tabella corrispondente alla qualità dell’istante</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1. CONSUMATORE</w:t>
            </w:r>
          </w:p>
        </w:tc>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Importo</w:t>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Reddito mensile del nucleo familiare (busta paga, pensione o altre entrate)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bl>
    <w:p>
      <w:pPr>
        <w:spacing w:after="60"/>
      </w:pP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2. PROFESSIONISTA</w:t>
            </w:r>
          </w:p>
        </w:tc>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Importo</w:t>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Reddito di lavoro autonomo anno 2025 (dichiarazione dei redditi: quadro RE o, in regime forfettario, quadro LM)</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Reddito di lavoro autonomo anno 2024 (dichiarazione dei redditi: quadro RE o, in regime forfettario, quadro LM)</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Reddito di lavoro autonomo anno 2023 (dichiarazione dei redditi: quadro RE o, in regime forfettario, quadro LM)</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bl>
    <w:p>
      <w:pPr>
        <w:spacing w:after="60"/>
      </w:pP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3. IMPRESA</w:t>
            </w:r>
          </w:p>
        </w:tc>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Importo</w:t>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Fatturato anno 2025</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Fatturato anno 2024</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Fatturato anno 2023</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Reddito d’impresa dell’ultimo anno</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bl>
    <w:p>
      <w:pPr>
        <w:spacing w:after="60"/>
      </w:pP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cantSplit/>
        </w:trPr>
        <w:tc>
          <w:tcPr>
            <w:tcW w:type="dxa" w:w="384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4. AZIENDA AGRICOLA</w:t>
            </w:r>
          </w:p>
        </w:tc>
        <w:tc>
          <w:tcPr>
            <w:tcW w:type="dxa" w:w="19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Anno 2025</w:t>
            </w:r>
          </w:p>
        </w:tc>
        <w:tc>
          <w:tcPr>
            <w:tcW w:type="dxa" w:w="19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Anno 2024</w:t>
            </w:r>
          </w:p>
        </w:tc>
        <w:tc>
          <w:tcPr>
            <w:tcW w:type="dxa" w:w="19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Anno 2023</w:t>
            </w:r>
          </w:p>
        </w:tc>
      </w:tr>
      <w:tr>
        <w:trPr>
          <w:cantSplit/>
        </w:trPr>
        <w:tc>
          <w:tcPr>
            <w:tcW w:type="dxa" w:w="38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Produzione lorda vendibile (PLV)</w:t>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38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 Contributi PAC e altri aiuti</w:t>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38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 Costi di produzione</w:t>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384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left"/>
            </w:pPr>
            <w:r>
              <w:rPr>
                <w:b/>
                <w:bCs/>
                <w:i w:val="false"/>
                <w:iCs w:val="false"/>
                <w:sz w:val="19"/>
                <w:szCs w:val="19"/>
                <w:rFonts w:ascii="Calibri" w:cs="Calibri" w:eastAsia="Calibri" w:hAnsi="Calibri"/>
              </w:rPr>
              <w:t xml:space="preserve">Reddito netto aziendale</w:t>
            </w:r>
          </w:p>
        </w:tc>
        <w:tc>
          <w:tcPr>
            <w:tcW w:type="dxa" w:w="192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right"/>
            </w:pPr>
            <w:r>
              <w:rPr>
                <w:b/>
                <w:bCs/>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right"/>
            </w:pPr>
            <w:r>
              <w:rPr>
                <w:b/>
                <w:bCs/>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right"/>
            </w:pPr>
            <w:r>
              <w:rPr>
                <w:b/>
                <w:bCs/>
                <w:i w:val="false"/>
                <w:iCs w:val="false"/>
                <w:sz w:val="19"/>
                <w:szCs w:val="19"/>
                <w:rFonts w:ascii="Calibri" w:cs="Calibri" w:eastAsia="Calibri" w:hAnsi="Calibri"/>
              </w:rPr>
            </w:r>
          </w:p>
        </w:tc>
      </w:tr>
    </w:tbl>
    <w:p>
      <w:pPr>
        <w:spacing w:after="60"/>
      </w:pPr>
    </w:p>
    <w:p>
      <w:pPr>
        <w:spacing w:after="100"/>
        <w:jc w:val="both"/>
      </w:pPr>
      <w:r>
        <w:rPr>
          <w:b w:val="false"/>
          <w:bCs w:val="false"/>
          <w:i/>
          <w:iCs/>
          <w:color w:val="555555"/>
          <w:sz w:val="17"/>
          <w:szCs w:val="17"/>
          <w:rFonts w:ascii="Calibri" w:cs="Calibri" w:eastAsia="Calibri" w:hAnsi="Calibri"/>
        </w:rPr>
        <w:t xml:space="preserve">Azienda agricola: la produzione lorda vendibile comprende il valore dei prodotti venduti, reimpiegati in azienda o autoconsumati e delle attività connesse (art. 2135 c.c.). Per la capacità di sostenere la ristrutturazione del debito si fa riferimento al reddito netto aziendale effettivo e non al reddito dominicale e agrario catastale (artt. 32-34 TUIR), che ha natura solo fiscale.</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816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ELENCO CREDITORI (crocettare e aggiungere quelli mancanti)</w:t>
            </w:r>
          </w:p>
        </w:tc>
        <w:tc>
          <w:tcPr>
            <w:tcW w:type="dxa" w:w="144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center"/>
            </w:pPr>
            <w:r>
              <w:rPr>
                <w:b/>
                <w:bCs/>
                <w:i w:val="false"/>
                <w:iCs w:val="false"/>
                <w:color w:val="FFFFFF"/>
                <w:sz w:val="19"/>
                <w:szCs w:val="19"/>
                <w:rFonts w:ascii="Calibri" w:cs="Calibri" w:eastAsia="Calibri" w:hAnsi="Calibri"/>
              </w:rPr>
              <w:t xml:space="preserve">X</w:t>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Agos Ducato</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Agricolare Popolare Ragusa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Carige</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di Credito Cooperativo</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Ifis SpA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Intesa San Paolo</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Mediolanum SpA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Nazionale del Lavoro</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Nuova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UCB</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Banco Popolare</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Barclays Bank</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Carifin</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Compass</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Consumit (gruppo Monte Paschi)</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Credirama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Credito Emiliano</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Credito Siciliano</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Crias</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Do Bank SpA (gruppo Unicredit)</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Enel</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Fides</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Fiditalia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Findomestic</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Fire</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IBL Banca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ING Bank</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Irfis Banca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Italcredi</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Italfondiario SpA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Marte SpV ex Agos Ducato</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Monte Paschi</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Plus valore SpA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Prestitalia SpA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Santander Consumer Bank</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Towers CQ SrL</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Ubi Banca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Unicredit</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Unicredit Family Financing</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Unipol Banca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bl>
    <w:p>
      <w:pPr>
        <w:spacing w:after="60"/>
      </w:pPr>
    </w:p>
    <w:p>
      <w:pPr>
        <w:spacing w:after="100"/>
        <w:jc w:val="both"/>
      </w:pPr>
      <w:r>
        <w:rPr>
          <w:b w:val="false"/>
          <w:bCs w:val="false"/>
          <w:i/>
          <w:iCs/>
          <w:color w:val="555555"/>
          <w:sz w:val="17"/>
          <w:szCs w:val="17"/>
          <w:rFonts w:ascii="Calibri" w:cs="Calibri" w:eastAsia="Calibri" w:hAnsi="Calibri"/>
        </w:rPr>
        <w:t xml:space="preserve">L’elenco comprende tutti i creditori: nessun creditore e nessun bene è stato omesso.</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MOTIVI DEL SOVRAINDEBITAMENTO</w:t>
      </w:r>
    </w:p>
    <w:p>
      <w:pPr>
        <w:spacing w:after="100"/>
        <w:jc w:val="both"/>
      </w:pPr>
      <w:r>
        <w:rPr>
          <w:b w:val="false"/>
          <w:bCs w:val="false"/>
          <w:i w:val="false"/>
          <w:iCs w:val="false"/>
          <w:sz w:val="21"/>
          <w:szCs w:val="21"/>
          <w:rFonts w:ascii="Calibri" w:cs="Calibri" w:eastAsia="Calibri" w:hAnsi="Calibri"/>
        </w:rPr>
        <w:t xml:space="preserve">.....................................................................................................................................................</w:t>
      </w:r>
    </w:p>
    <w:p>
      <w:pPr>
        <w:spacing w:after="100"/>
        <w:jc w:val="both"/>
      </w:pPr>
      <w:r>
        <w:rPr>
          <w:b w:val="false"/>
          <w:bCs w:val="false"/>
          <w:i w:val="false"/>
          <w:iCs w:val="false"/>
          <w:sz w:val="21"/>
          <w:szCs w:val="21"/>
          <w:rFonts w:ascii="Calibri" w:cs="Calibri" w:eastAsia="Calibri" w:hAnsi="Calibri"/>
        </w:rPr>
        <w:t xml:space="preserve">.....................................................................................................................................................</w:t>
      </w:r>
    </w:p>
    <w:p>
      <w:pPr>
        <w:spacing w:after="100"/>
        <w:jc w:val="both"/>
      </w:pPr>
      <w:r>
        <w:rPr>
          <w:b w:val="false"/>
          <w:bCs w:val="false"/>
          <w:i w:val="false"/>
          <w:iCs w:val="false"/>
          <w:sz w:val="21"/>
          <w:szCs w:val="21"/>
          <w:rFonts w:ascii="Calibri" w:cs="Calibri" w:eastAsia="Calibri" w:hAnsi="Calibri"/>
        </w:rPr>
        <w:t xml:space="preserve">.....................................................................................................................................................</w:t>
      </w:r>
    </w:p>
    <w:p>
      <w:pPr>
        <w:spacing w:after="100"/>
        <w:jc w:val="both"/>
      </w:pPr>
      <w:r>
        <w:rPr>
          <w:b w:val="false"/>
          <w:bCs w:val="false"/>
          <w:i w:val="false"/>
          <w:iCs w:val="false"/>
          <w:sz w:val="21"/>
          <w:szCs w:val="21"/>
          <w:rFonts w:ascii="Calibri" w:cs="Calibri" w:eastAsia="Calibri" w:hAnsi="Calibri"/>
        </w:rPr>
        <w:t xml:space="preserve">.....................................................................................................................................................</w:t>
      </w:r>
    </w:p>
    <w:p>
      <w:pPr>
        <w:spacing w:after="100"/>
        <w:jc w:val="both"/>
      </w:pPr>
      <w:r>
        <w:rPr>
          <w:b w:val="false"/>
          <w:bCs w:val="false"/>
          <w:i w:val="false"/>
          <w:iCs w:val="false"/>
          <w:sz w:val="21"/>
          <w:szCs w:val="21"/>
          <w:rFonts w:ascii="Calibri" w:cs="Calibri" w:eastAsia="Calibri" w:hAnsi="Calibri"/>
        </w:rPr>
        <w:t xml:space="preserve">.....................................................................................................................................................</w:t>
      </w:r>
    </w:p>
    <w:p>
      <w:pPr>
        <w:spacing w:after="100"/>
        <w:jc w:val="both"/>
      </w:pPr>
      <w:r>
        <w:rPr>
          <w:b w:val="false"/>
          <w:bCs w:val="false"/>
          <w:i w:val="false"/>
          <w:iCs w:val="false"/>
          <w:sz w:val="21"/>
          <w:szCs w:val="21"/>
          <w:rFonts w:ascii="Calibri" w:cs="Calibri" w:eastAsia="Calibri" w:hAnsi="Calibri"/>
        </w:rPr>
        <w:t xml:space="preserve">.....................................................................................................................................................</w:t>
      </w:r>
    </w:p>
    <w:p/>
    <w:p>
      <w:pPr>
        <w:spacing w:after="100"/>
        <w:jc w:val="both"/>
      </w:pPr>
      <w:r>
        <w:rPr>
          <w:b/>
          <w:bCs/>
          <w:i w:val="false"/>
          <w:iCs w:val="false"/>
          <w:sz w:val="21"/>
          <w:szCs w:val="21"/>
          <w:rFonts w:ascii="Calibri" w:cs="Calibri" w:eastAsia="Calibri" w:hAnsi="Calibri"/>
        </w:rPr>
        <w:t xml:space="preserve">Allegati diversi.</w:t>
      </w:r>
    </w:p>
    <w:p/>
    <w:p>
      <w:pPr>
        <w:spacing w:after="100"/>
        <w:jc w:val="both"/>
      </w:pPr>
      <w:r>
        <w:rPr>
          <w:b w:val="false"/>
          <w:bCs w:val="false"/>
          <w:i w:val="false"/>
          <w:iCs w:val="false"/>
          <w:sz w:val="21"/>
          <w:szCs w:val="21"/>
          <w:rFonts w:ascii="Calibri" w:cs="Calibri" w:eastAsia="Calibri" w:hAnsi="Calibri"/>
        </w:rPr>
        <w:t xml:space="preserve">...................., ..........</w:t>
      </w:r>
    </w:p>
    <w:p>
      <w:pPr>
        <w:spacing w:after="100"/>
        <w:jc w:val="both"/>
      </w:pPr>
      <w:r>
        <w:rPr>
          <w:b w:val="false"/>
          <w:bCs w:val="false"/>
          <w:i w:val="false"/>
          <w:iCs w:val="false"/>
          <w:sz w:val="17"/>
          <w:szCs w:val="17"/>
          <w:rFonts w:ascii="Calibri" w:cs="Calibri" w:eastAsia="Calibri" w:hAnsi="Calibri"/>
        </w:rPr>
        <w:t xml:space="preserve">Firma valida per l’istanza e per la dichiarazione sostitutiva.</w:t>
      </w:r>
    </w:p>
    <w:p>
      <w:pPr>
        <w:spacing w:before="300"/>
        <w:jc w:val="right"/>
      </w:pPr>
      <w:r>
        <w:rPr>
          <w:b w:val="false"/>
          <w:bCs w:val="false"/>
          <w:i w:val="false"/>
          <w:iCs w:val="false"/>
          <w:sz w:val="21"/>
          <w:szCs w:val="21"/>
          <w:rFonts w:ascii="Calibri" w:cs="Calibri" w:eastAsia="Calibri" w:hAnsi="Calibri"/>
        </w:rPr>
        <w:t xml:space="preserve">.............................................</w:t>
      </w:r>
    </w:p>
    <w:p>
      <w:pPr>
        <w:spacing w:before="720"/>
        <w:jc w:val="right"/>
      </w:pPr>
      <w:r>
        <w:rPr>
          <w:b w:val="false"/>
          <w:bCs w:val="false"/>
          <w:i w:val="false"/>
          <w:iCs w:val="false"/>
          <w:sz w:val="21"/>
          <w:szCs w:val="21"/>
          <w:rFonts w:ascii="Calibri" w:cs="Calibri" w:eastAsia="Calibri" w:hAnsi="Calibri"/>
        </w:rPr>
        <w:t xml:space="preserve">_________________________________</w:t>
      </w:r>
    </w:p>
    <w:p>
      <w:pPr>
        <w:jc w:val="right"/>
      </w:pPr>
      <w:r>
        <w:rPr>
          <w:b w:val="false"/>
          <w:bCs w:val="false"/>
          <w:i w:val="false"/>
          <w:iCs w:val="false"/>
          <w:color w:val="777777"/>
          <w:sz w:val="16"/>
          <w:szCs w:val="16"/>
          <w:rFonts w:ascii="Calibri" w:cs="Calibri" w:eastAsia="Calibri" w:hAnsi="Calibri"/>
        </w:rPr>
        <w:t xml:space="preserve">(firma)</w:t>
      </w:r>
    </w:p>
    <w:p>
      <w:r>
        <w:br w:type="page"/>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600"/>
            <w:tcBorders>
              <w:top w:val="none" w:color="FFFFFF" w:sz="0"/>
              <w:left w:val="none" w:color="FFFFFF" w:sz="0"/>
              <w:bottom w:val="none" w:color="FFFFFF" w:sz="0"/>
              <w:right w:val="none" w:color="FFFFFF" w:sz="0"/>
            </w:tcBorders>
            <w:shd w:fill="0D3A23" w:color="auto" w:val="clear"/>
          </w:tcPr>
          <w:p>
            <w:pPr>
              <w:spacing w:before="120" w:after="40"/>
              <w:jc w:val="center"/>
            </w:pPr>
            <w:r>
              <w:rPr>
                <w:b/>
                <w:bCs/>
                <w:i w:val="false"/>
                <w:iCs w:val="false"/>
                <w:color w:val="FFFFFF"/>
                <w:sz w:val="24"/>
                <w:szCs w:val="24"/>
                <w:rFonts w:ascii="Calibri" w:cs="Calibri" w:eastAsia="Calibri" w:hAnsi="Calibri"/>
              </w:rPr>
              <w:t xml:space="preserve">INFORMATIVA E CONSENSO AL TRATTAMENTO DEI DATI PERSONALI</w:t>
            </w:r>
          </w:p>
          <w:p>
            <w:pPr>
              <w:spacing w:after="120"/>
              <w:jc w:val="center"/>
            </w:pPr>
            <w:r>
              <w:rPr>
                <w:b w:val="false"/>
                <w:bCs w:val="false"/>
                <w:i w:val="false"/>
                <w:iCs w:val="false"/>
                <w:color w:val="FFFFFF"/>
                <w:sz w:val="18"/>
                <w:szCs w:val="18"/>
                <w:rFonts w:ascii="Calibri" w:cs="Calibri" w:eastAsia="Calibri" w:hAnsi="Calibri"/>
              </w:rPr>
              <w:t xml:space="preserve">artt. 13 e 14 Regolamento (UE) 2016/679 (GDPR) – D. Lgs. 196/2003 come modificato dal D. Lgs. 101/2018</w:t>
            </w:r>
          </w:p>
        </w:tc>
      </w:tr>
    </w:tbl>
    <w:p/>
    <w:p>
      <w:pPr>
        <w:spacing w:after="100"/>
        <w:jc w:val="both"/>
      </w:pPr>
      <w:r>
        <w:rPr>
          <w:b w:val="false"/>
          <w:bCs w:val="false"/>
          <w:i w:val="false"/>
          <w:iCs w:val="false"/>
          <w:sz w:val="17"/>
          <w:szCs w:val="17"/>
          <w:rFonts w:ascii="Calibri" w:cs="Calibri" w:eastAsia="Calibri" w:hAnsi="Calibri"/>
        </w:rPr>
        <w:t xml:space="preserve">Titolari del trattamento: l’Organismo di Composizione della Crisi “O.C.C. I Diritti previste dal Codice della Crisi e dell' Insolvenza, come sopra indicata; CHIEDE - Che l’Organismo di Composizione della Crisi, effettui una prima valutazione sull’ammissibilità della proposta, sulla base della dichiarazione allegata relativa all’elenco dei debiti, dei crediti, degli immobili posseduti e del reddito prodotto o percepito; - Che, in caso di prima ipotesi favorevole, l’Organismo di Composizione della Crisi svolga le funzioni attribuite dalla Codice della Crisi, D. Lgs. 12 gennaio 2019 n. 14, secondo le previsioni di cui al D.M. n. 202 del 24 settembre 2014; - Che venga rilasciato un preventivo di massima delle competenze spettanti all’ Organismo sulla base dell’elenco esposizioni debitorie allegato; - Che venga nominato il Gestore della Crisi da sovra indebitamento; - Che venga nominato uno o più consulenti per l'accesso alla procedura Composizione Negoziata della Crisi di Impresa; SI IMPEGNA - a fornire la certificazione relativa ai dati come sopra dichiarati nonché tutta la documentazione che l’Organismo riterrà più opportuno richiedere; - Ad effettuare un versamento pari a: • Euro: 300,00 (trecento) per Piano di Ristrutturazione dei Debiti ed Esdebitazione • Euro: 500,00 (Cinquecento) per Concordato Minore e Liquidazione controllata Iban: quale fondo spese istruzione pratica; resta inteso che tale fondo, nel caso che la proposta venga dichiarata ammissibile, verrà definitivamente acquisito dall'Organismo, senza possibilità di restituzione. PRENDE ATTO - Che le competenze previste in favore dell’Organismo verranno definitivamente calcolate, secondo i parametri previsti dal D.A. 24 settembre 2014 n. 202, dopo la definitiva certificazione delle poste dell’Attivo e del Passivo; - Che l‘importo totale delle competenze dovrà essere versato all’Organismo, con le modalità descritte nel preventivo che verrà rilasciato e sottoscritto per accettazione. Allegati carta di identità e codice fiscale Con osservanza, ......................................... li................................... Il Sovra indebitato del Debitore sul conto intestato all' acceso presso SIENA - Segretariato Sociale nel Comune di Siena (SI)” (PEC idirittideldebitore.siena@pec.it), per la gestione dell’istanza e della procedura, e l’Associazione Nazionale «I Diritti del Debitore» ETS, per il servizio di compilazione assistita.</w:t>
      </w:r>
    </w:p>
    <w:p>
      <w:pPr>
        <w:spacing w:after="100"/>
        <w:jc w:val="both"/>
      </w:pPr>
      <w:r>
        <w:rPr>
          <w:b w:val="false"/>
          <w:bCs w:val="false"/>
          <w:i w:val="false"/>
          <w:iCs w:val="false"/>
          <w:sz w:val="17"/>
          <w:szCs w:val="17"/>
          <w:rFonts w:ascii="Calibri" w:cs="Calibri" w:eastAsia="Calibri" w:hAnsi="Calibri"/>
        </w:rPr>
        <w:t xml:space="preserve">Finalità e base giuridica: valutazione dell’istanza e svolgimento della procedura di composizione della crisi da sovraindebitamento (D. Lgs. 14/2019); esecuzione di misure precontrattuali e del rapporto con l’Organismo (art. 6, par. 1, lett. b GDPR); adempimento di obblighi di legge (art. 6, par. 1, lett. c GDPR); consenso esplicito dell’interessato per i dati appartenenti a categorie particolari, ad esempio relativi alla salute, eventualmente contenuti nei documenti (art. 9, par. 2, lett. a GDPR).</w:t>
      </w:r>
    </w:p>
    <w:p>
      <w:pPr>
        <w:spacing w:after="100"/>
        <w:jc w:val="both"/>
      </w:pPr>
      <w:r>
        <w:rPr>
          <w:b w:val="false"/>
          <w:bCs w:val="false"/>
          <w:i w:val="false"/>
          <w:iCs w:val="false"/>
          <w:sz w:val="17"/>
          <w:szCs w:val="17"/>
          <w:rFonts w:ascii="Calibri" w:cs="Calibri" w:eastAsia="Calibri" w:hAnsi="Calibri"/>
        </w:rPr>
        <w:t xml:space="preserve">Dati trattati: dati anagrafici e di contatto; dati reddituali, patrimoniali e relativi ai debiti; dati del nucleo familiare e delle spese; contenuto dei documenti allegati.</w:t>
      </w:r>
    </w:p>
    <w:p>
      <w:pPr>
        <w:spacing w:after="100"/>
        <w:jc w:val="both"/>
      </w:pPr>
      <w:r>
        <w:rPr>
          <w:b w:val="false"/>
          <w:bCs w:val="false"/>
          <w:i w:val="false"/>
          <w:iCs w:val="false"/>
          <w:sz w:val="17"/>
          <w:szCs w:val="17"/>
          <w:rFonts w:ascii="Calibri" w:cs="Calibri" w:eastAsia="Calibri" w:hAnsi="Calibri"/>
        </w:rPr>
        <w:t xml:space="preserve">Modalità: trattamento con strumenti elettronici e cartacei, con misure di sicurezza adeguate (art. 32 GDPR). Per la compilazione assistita i documenti sono letti da un sistema di intelligenza artificiale fornito da un responsabile del trattamento (art. 28 GDPR), senza decisioni basate unicamente su un trattamento automatizzato (art. 22 GDPR): il risultato è verificato dall’interessato e dal Gestore della crisi, nel rispetto del Regolamento (UE) 2024/1689 sull’intelligenza artificiale e della Legge 23 settembre 2025 n. 132. I documenti caricati non sono conservati dal servizio di compilazione. L’eventuale trasferimento di dati fuori dall’Unione Europea avviene con le garanzie previste dagli artt. 44-49 GDPR.</w:t>
      </w:r>
    </w:p>
    <w:p>
      <w:pPr>
        <w:spacing w:after="100"/>
        <w:jc w:val="both"/>
      </w:pPr>
      <w:r>
        <w:rPr>
          <w:b w:val="false"/>
          <w:bCs w:val="false"/>
          <w:i w:val="false"/>
          <w:iCs w:val="false"/>
          <w:sz w:val="17"/>
          <w:szCs w:val="17"/>
          <w:rFonts w:ascii="Calibri" w:cs="Calibri" w:eastAsia="Calibri" w:hAnsi="Calibri"/>
        </w:rPr>
        <w:t xml:space="preserve">Destinatari: Gestore della crisi e personale autorizzato dell’Organismo; creditori, Agenzia delle Entrate e altri enti per la verifica e la certificazione dei debiti; Autorità giudiziaria; l’avvocato eventualmente incaricato; fornitori di servizi tecnici nominati responsabili del trattamento. I dati non sono diffusi.</w:t>
      </w:r>
    </w:p>
    <w:p>
      <w:pPr>
        <w:spacing w:after="100"/>
        <w:jc w:val="both"/>
      </w:pPr>
      <w:r>
        <w:rPr>
          <w:b w:val="false"/>
          <w:bCs w:val="false"/>
          <w:i w:val="false"/>
          <w:iCs w:val="false"/>
          <w:sz w:val="17"/>
          <w:szCs w:val="17"/>
          <w:rFonts w:ascii="Calibri" w:cs="Calibri" w:eastAsia="Calibri" w:hAnsi="Calibri"/>
        </w:rPr>
        <w:t xml:space="preserve">Conservazione: per la durata della procedura e, dopo la sua conclusione, per il tempo previsto dagli obblighi di legge e per la tutela dei diritti (di norma dieci anni).</w:t>
      </w:r>
    </w:p>
    <w:p>
      <w:pPr>
        <w:spacing w:after="100"/>
        <w:jc w:val="both"/>
      </w:pPr>
      <w:r>
        <w:rPr>
          <w:b w:val="false"/>
          <w:bCs w:val="false"/>
          <w:i w:val="false"/>
          <w:iCs w:val="false"/>
          <w:sz w:val="17"/>
          <w:szCs w:val="17"/>
          <w:rFonts w:ascii="Calibri" w:cs="Calibri" w:eastAsia="Calibri" w:hAnsi="Calibri"/>
        </w:rPr>
        <w:t xml:space="preserve">Natura del conferimento: necessario per la valutazione dell’istanza: in mancanza la procedura non può essere avviata.</w:t>
      </w:r>
    </w:p>
    <w:p>
      <w:pPr>
        <w:spacing w:after="100"/>
        <w:jc w:val="both"/>
      </w:pPr>
      <w:r>
        <w:rPr>
          <w:b w:val="false"/>
          <w:bCs w:val="false"/>
          <w:i w:val="false"/>
          <w:iCs w:val="false"/>
          <w:sz w:val="17"/>
          <w:szCs w:val="17"/>
          <w:rFonts w:ascii="Calibri" w:cs="Calibri" w:eastAsia="Calibri" w:hAnsi="Calibri"/>
        </w:rPr>
        <w:t xml:space="preserve">Diritti dell’interessato: accesso, rettifica, cancellazione, limitazione, portabilità e opposizione (artt. 15-22 GDPR); revoca del consenso in qualsiasi momento, senza pregiudizio per il trattamento già effettuato; reclamo al Garante per la protezione dei dati personali (www.garanteprivacy.it). Le richieste si inviano alla PEC dell’Organismo.</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CONSENSO INFORMATO</w:t>
      </w:r>
    </w:p>
    <w:p>
      <w:pPr>
        <w:spacing w:after="100"/>
        <w:jc w:val="both"/>
      </w:pPr>
      <w:r>
        <w:rPr>
          <w:b w:val="false"/>
          <w:bCs w:val="false"/>
          <w:i w:val="false"/>
          <w:iCs w:val="false"/>
          <w:sz w:val="21"/>
          <w:szCs w:val="21"/>
          <w:rFonts w:ascii="Calibri" w:cs="Calibri" w:eastAsia="Calibri" w:hAnsi="Calibri"/>
        </w:rPr>
        <w:t xml:space="preserve">Il sottoscritto, ricevuta e letta l’informativa che precede:</w:t>
      </w:r>
    </w:p>
    <w:p>
      <w:pPr>
        <w:spacing w:after="100"/>
        <w:ind w:left="340" w:hanging="240"/>
        <w:jc w:val="both"/>
      </w:pPr>
      <w:r>
        <w:rPr>
          <w:b w:val="false"/>
          <w:bCs w:val="false"/>
          <w:i w:val="false"/>
          <w:iCs w:val="false"/>
          <w:sz w:val="21"/>
          <w:szCs w:val="21"/>
          <w:rFonts w:ascii="Calibri" w:cs="Calibri" w:eastAsia="Calibri" w:hAnsi="Calibri"/>
        </w:rPr>
        <w:t xml:space="preserve">☐  acconsente al trattamento dei dati personali per le finalità indicate, compresi i dati appartenenti a categorie particolari eventualmente contenuti nei documenti;</w:t>
      </w:r>
    </w:p>
    <w:p>
      <w:pPr>
        <w:spacing w:after="100"/>
        <w:ind w:left="340" w:hanging="240"/>
        <w:jc w:val="both"/>
      </w:pPr>
      <w:r>
        <w:rPr>
          <w:b w:val="false"/>
          <w:bCs w:val="false"/>
          <w:i w:val="false"/>
          <w:iCs w:val="false"/>
          <w:sz w:val="21"/>
          <w:szCs w:val="21"/>
          <w:rFonts w:ascii="Calibri" w:cs="Calibri" w:eastAsia="Calibri" w:hAnsi="Calibri"/>
        </w:rPr>
        <w:t xml:space="preserve">☐  acconsente alla comunicazione dei dati ai creditori, agli enti e all’Autorità giudiziaria per lo svolgimento della procedura;</w:t>
      </w:r>
    </w:p>
    <w:p>
      <w:pPr>
        <w:spacing w:after="100"/>
        <w:ind w:left="340" w:hanging="240"/>
        <w:jc w:val="both"/>
      </w:pPr>
      <w:r>
        <w:rPr>
          <w:b w:val="false"/>
          <w:bCs w:val="false"/>
          <w:i w:val="false"/>
          <w:iCs w:val="false"/>
          <w:sz w:val="21"/>
          <w:szCs w:val="21"/>
          <w:rFonts w:ascii="Calibri" w:cs="Calibri" w:eastAsia="Calibri" w:hAnsi="Calibri"/>
        </w:rPr>
        <w:t xml:space="preserve">☐  dichiara di essere informato che la compilazione è stata assistita da un sistema di intelligenza artificiale e di aver verificato personalmente tutti i dati.</w:t>
      </w:r>
    </w:p>
    <w:p>
      <w:pPr>
        <w:spacing w:after="100"/>
        <w:jc w:val="both"/>
      </w:pPr>
      <w:r>
        <w:rPr>
          <w:b w:val="false"/>
          <w:bCs w:val="false"/>
          <w:i w:val="false"/>
          <w:iCs w:val="false"/>
          <w:sz w:val="21"/>
          <w:szCs w:val="21"/>
          <w:rFonts w:ascii="Calibri" w:cs="Calibri" w:eastAsia="Calibri" w:hAnsi="Calibri"/>
        </w:rPr>
        <w:t xml:space="preserve">...................., ..........</w:t>
      </w:r>
    </w:p>
    <w:p>
      <w:pPr>
        <w:spacing w:before="300"/>
        <w:jc w:val="right"/>
      </w:pPr>
      <w:r>
        <w:rPr>
          <w:b w:val="false"/>
          <w:bCs w:val="false"/>
          <w:i w:val="false"/>
          <w:iCs w:val="false"/>
          <w:sz w:val="21"/>
          <w:szCs w:val="21"/>
          <w:rFonts w:ascii="Calibri" w:cs="Calibri" w:eastAsia="Calibri" w:hAnsi="Calibri"/>
        </w:rPr>
        <w:t xml:space="preserve">.............................................</w:t>
      </w:r>
    </w:p>
    <w:p>
      <w:pPr>
        <w:spacing w:before="720"/>
        <w:jc w:val="right"/>
      </w:pPr>
      <w:r>
        <w:rPr>
          <w:b w:val="false"/>
          <w:bCs w:val="false"/>
          <w:i w:val="false"/>
          <w:iCs w:val="false"/>
          <w:sz w:val="21"/>
          <w:szCs w:val="21"/>
          <w:rFonts w:ascii="Calibri" w:cs="Calibri" w:eastAsia="Calibri" w:hAnsi="Calibri"/>
        </w:rPr>
        <w:t xml:space="preserve">_________________________________</w:t>
      </w:r>
    </w:p>
    <w:p>
      <w:pPr>
        <w:jc w:val="right"/>
      </w:pPr>
      <w:r>
        <w:rPr>
          <w:b w:val="false"/>
          <w:bCs w:val="false"/>
          <w:i w:val="false"/>
          <w:iCs w:val="false"/>
          <w:color w:val="777777"/>
          <w:sz w:val="16"/>
          <w:szCs w:val="16"/>
          <w:rFonts w:ascii="Calibri" w:cs="Calibri" w:eastAsia="Calibri" w:hAnsi="Calibri"/>
        </w:rPr>
        <w:t xml:space="preserve">(firma)</w:t>
      </w:r>
    </w:p>
    <w:p>
      <w:r>
        <w:br w:type="page"/>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600"/>
            <w:tcBorders>
              <w:top w:val="none" w:color="FFFFFF" w:sz="0"/>
              <w:left w:val="none" w:color="FFFFFF" w:sz="0"/>
              <w:bottom w:val="none" w:color="FFFFFF" w:sz="0"/>
              <w:right w:val="none" w:color="FFFFFF" w:sz="0"/>
            </w:tcBorders>
            <w:shd w:fill="0D3A23" w:color="auto" w:val="clear"/>
          </w:tcPr>
          <w:p>
            <w:pPr>
              <w:spacing w:before="120" w:after="40"/>
              <w:jc w:val="center"/>
            </w:pPr>
            <w:r>
              <w:rPr>
                <w:b/>
                <w:bCs/>
                <w:i w:val="false"/>
                <w:iCs w:val="false"/>
                <w:color w:val="FFFFFF"/>
                <w:sz w:val="24"/>
                <w:szCs w:val="24"/>
                <w:rFonts w:ascii="Calibri" w:cs="Calibri" w:eastAsia="Calibri" w:hAnsi="Calibri"/>
              </w:rPr>
              <w:t xml:space="preserve">PROCURA SPECIALE</w:t>
            </w:r>
          </w:p>
          <w:p>
            <w:pPr>
              <w:spacing w:after="120"/>
              <w:jc w:val="center"/>
            </w:pPr>
            <w:r>
              <w:rPr>
                <w:b w:val="false"/>
                <w:bCs w:val="false"/>
                <w:i w:val="false"/>
                <w:iCs w:val="false"/>
                <w:color w:val="FFFFFF"/>
                <w:sz w:val="18"/>
                <w:szCs w:val="18"/>
                <w:rFonts w:ascii="Calibri" w:cs="Calibri" w:eastAsia="Calibri" w:hAnsi="Calibri"/>
              </w:rPr>
              <w:t xml:space="preserve">da compilare solo se l’istante si fa assistere da un avvocato</w:t>
            </w:r>
          </w:p>
        </w:tc>
      </w:tr>
    </w:tbl>
    <w:p/>
    <w:p>
      <w:pPr>
        <w:spacing w:after="160" w:line="480"/>
        <w:jc w:val="both"/>
      </w:pPr>
      <w:r>
        <w:rPr>
          <w:b w:val="false"/>
          <w:bCs w:val="false"/>
          <w:i w:val="false"/>
          <w:iCs w:val="false"/>
          <w:sz w:val="21"/>
          <w:szCs w:val="21"/>
          <w:rFonts w:ascii="Calibri" w:cs="Calibri" w:eastAsia="Calibri" w:hAnsi="Calibri"/>
        </w:rPr>
        <w:t xml:space="preserve">Il sottoscritto ......................................................., nato a ................................... il .............., C.F. ..............................,</w:t>
      </w:r>
    </w:p>
    <w:p>
      <w:pPr>
        <w:spacing w:after="160" w:line="480"/>
        <w:jc w:val="both"/>
      </w:pPr>
      <w:r>
        <w:rPr>
          <w:b w:val="false"/>
          <w:bCs w:val="false"/>
          <w:i w:val="false"/>
          <w:iCs w:val="false"/>
          <w:sz w:val="21"/>
          <w:szCs w:val="21"/>
          <w:rFonts w:ascii="Calibri" w:cs="Calibri" w:eastAsia="Calibri" w:hAnsi="Calibri"/>
        </w:rPr>
        <w:t xml:space="preserve">conferisce all’Avv. ....................................................... procura speciale a rappresentarlo e assisterlo davanti all’Organismo di Composizione della Crisi, al fine di depositare l’istanza che precede e la dichiarazione sostitutiva, di richiedere che l’Organismo svolga le funzioni attribuite dal D. Lgs. 12 gennaio 2019 n. 14 e di compiere ogni attività utile alla predisposizione della proposta e alla sua esecuzione, previo rilascio del preventivo e nomina del Gestore della crisi, con ogni più ampia facoltà di legge.</w:t>
      </w:r>
    </w:p>
    <w:p>
      <w:pPr>
        <w:spacing w:after="160" w:line="480"/>
        <w:jc w:val="both"/>
      </w:pPr>
      <w:r>
        <w:rPr>
          <w:b w:val="false"/>
          <w:bCs w:val="false"/>
          <w:i w:val="false"/>
          <w:iCs w:val="false"/>
          <w:sz w:val="21"/>
          <w:szCs w:val="21"/>
          <w:rFonts w:ascii="Calibri" w:cs="Calibri" w:eastAsia="Calibri" w:hAnsi="Calibri"/>
        </w:rPr>
        <w:t xml:space="preserve">Elegge domicilio presso lo studio dell’Avv. ....................................................... in .............................., ........................................, tel. .................., email ..................................., PEC .................................... Autorizza il trattamento dei dati personali ai sensi del Regolamento (UE) 2016/679 e del D. Lgs. 196/2003, anche per le finalità difensive e amministrative successive alla conclusione della procedura.</w:t>
      </w:r>
    </w:p>
    <w:p>
      <w:pPr>
        <w:spacing w:after="100"/>
        <w:jc w:val="both"/>
      </w:pPr>
      <w:r>
        <w:rPr>
          <w:b w:val="false"/>
          <w:bCs w:val="false"/>
          <w:i w:val="false"/>
          <w:iCs w:val="false"/>
          <w:sz w:val="21"/>
          <w:szCs w:val="21"/>
          <w:rFonts w:ascii="Calibri" w:cs="Calibri" w:eastAsia="Calibri" w:hAnsi="Calibri"/>
        </w:rPr>
        <w:t xml:space="preserve">...................., ..........</w:t>
      </w:r>
    </w:p>
    <w:p>
      <w:pPr>
        <w:spacing w:before="300"/>
        <w:jc w:val="right"/>
      </w:pPr>
      <w:r>
        <w:rPr>
          <w:b w:val="false"/>
          <w:bCs w:val="false"/>
          <w:i w:val="false"/>
          <w:iCs w:val="false"/>
          <w:sz w:val="21"/>
          <w:szCs w:val="21"/>
          <w:rFonts w:ascii="Calibri" w:cs="Calibri" w:eastAsia="Calibri" w:hAnsi="Calibri"/>
        </w:rPr>
        <w:t xml:space="preserve">.............................................</w:t>
      </w:r>
    </w:p>
    <w:p>
      <w:pPr>
        <w:spacing w:before="720"/>
        <w:jc w:val="right"/>
      </w:pPr>
      <w:r>
        <w:rPr>
          <w:b w:val="false"/>
          <w:bCs w:val="false"/>
          <w:i w:val="false"/>
          <w:iCs w:val="false"/>
          <w:sz w:val="21"/>
          <w:szCs w:val="21"/>
          <w:rFonts w:ascii="Calibri" w:cs="Calibri" w:eastAsia="Calibri" w:hAnsi="Calibri"/>
        </w:rPr>
        <w:t xml:space="preserve">_________________________________</w:t>
      </w:r>
    </w:p>
    <w:p>
      <w:pPr>
        <w:jc w:val="right"/>
      </w:pPr>
      <w:r>
        <w:rPr>
          <w:b w:val="false"/>
          <w:bCs w:val="false"/>
          <w:i w:val="false"/>
          <w:iCs w:val="false"/>
          <w:color w:val="777777"/>
          <w:sz w:val="16"/>
          <w:szCs w:val="16"/>
          <w:rFonts w:ascii="Calibri" w:cs="Calibri" w:eastAsia="Calibri" w:hAnsi="Calibri"/>
        </w:rPr>
        <w:t xml:space="preserve">(firma)</w:t>
      </w:r>
    </w:p>
    <w:p>
      <w:pPr>
        <w:spacing w:after="100"/>
        <w:jc w:val="both"/>
      </w:pPr>
      <w:r>
        <w:rPr>
          <w:b/>
          <w:bCs/>
          <w:i w:val="false"/>
          <w:iCs w:val="false"/>
          <w:sz w:val="21"/>
          <w:szCs w:val="21"/>
          <w:rFonts w:ascii="Calibri" w:cs="Calibri" w:eastAsia="Calibri" w:hAnsi="Calibri"/>
        </w:rPr>
        <w:t xml:space="preserve">Vera la firma</w:t>
      </w:r>
    </w:p>
    <w:p>
      <w:pPr>
        <w:spacing w:before="300"/>
        <w:jc w:val="right"/>
      </w:pPr>
      <w:r>
        <w:rPr>
          <w:b w:val="false"/>
          <w:bCs w:val="false"/>
          <w:i w:val="false"/>
          <w:iCs w:val="false"/>
          <w:sz w:val="21"/>
          <w:szCs w:val="21"/>
          <w:rFonts w:ascii="Calibri" w:cs="Calibri" w:eastAsia="Calibri" w:hAnsi="Calibri"/>
        </w:rPr>
        <w:t xml:space="preserve">Avv. .............................................</w:t>
      </w:r>
    </w:p>
    <w:p>
      <w:pPr>
        <w:spacing w:before="720"/>
        <w:jc w:val="right"/>
      </w:pPr>
      <w:r>
        <w:rPr>
          <w:b w:val="false"/>
          <w:bCs w:val="false"/>
          <w:i w:val="false"/>
          <w:iCs w:val="false"/>
          <w:sz w:val="21"/>
          <w:szCs w:val="21"/>
          <w:rFonts w:ascii="Calibri" w:cs="Calibri" w:eastAsia="Calibri" w:hAnsi="Calibri"/>
        </w:rPr>
        <w:t xml:space="preserve">_________________________________</w:t>
      </w:r>
    </w:p>
    <w:p>
      <w:pPr>
        <w:jc w:val="right"/>
      </w:pPr>
      <w:r>
        <w:rPr>
          <w:b w:val="false"/>
          <w:bCs w:val="false"/>
          <w:i w:val="false"/>
          <w:iCs w:val="false"/>
          <w:color w:val="777777"/>
          <w:sz w:val="16"/>
          <w:szCs w:val="16"/>
          <w:rFonts w:ascii="Calibri" w:cs="Calibri" w:eastAsia="Calibri" w:hAnsi="Calibri"/>
        </w:rPr>
        <w:t xml:space="preserve">(firma)</w:t>
      </w:r>
    </w:p>
    <w:sectPr>
      <w:footerReference w:type="default" r:id="rId6"/>
      <w:pgSz w:w="11906" w:h="16838" w:orient="portrait"/>
      <w:pgMar w:top="1000" w:right="1150" w:bottom="1000" w:left="11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777777"/>
        <w:sz w:val="15"/>
        <w:szCs w:val="15"/>
        <w:rFonts w:ascii="Calibri" w:cs="Calibri" w:eastAsia="Calibri" w:hAnsi="Calibri"/>
      </w:rPr>
      <w:t xml:space="preserve">Istanza e dichiarazione sostitutiva – pagina </w:t>
    </w:r>
    <w:r>
      <w:rPr>
        <w:color w:val="777777"/>
        <w:sz w:val="15"/>
        <w:szCs w:val="15"/>
        <w:rFonts w:ascii="Calibri" w:cs="Calibri" w:eastAsia="Calibri" w:hAnsi="Calibri"/>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image" Target="media/w2uj9rmruo-8jba3pxbfn.png"/></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2026-10-19T13:33:24.093Z</dcterms:created>
  <dcterms:modified xsi:type="dcterms:W3CDTF">2026-10-19T13:33:24.093Z</dcterms:modified>
</cp:coreProperties>
</file>

<file path=docProps/custom.xml><?xml version="1.0" encoding="utf-8"?>
<Properties xmlns="http://schemas.openxmlformats.org/officeDocument/2006/custom-properties" xmlns:vt="http://schemas.openxmlformats.org/officeDocument/2006/docPropsVTypes"/>
</file>